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10F6" w14:textId="77777777" w:rsidR="002F1E5A" w:rsidRDefault="00233593">
      <w:pPr>
        <w:spacing w:line="252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Product specification</w:t>
      </w:r>
    </w:p>
    <w:p w14:paraId="7B09A1A7" w14:textId="77777777" w:rsidR="002F1E5A" w:rsidRDefault="002F1E5A">
      <w:pPr>
        <w:spacing w:line="252" w:lineRule="auto"/>
        <w:jc w:val="center"/>
        <w:rPr>
          <w:b/>
          <w:sz w:val="48"/>
          <w:szCs w:val="48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32"/>
      </w:tblGrid>
      <w:tr w:rsidR="002F1E5A" w14:paraId="27EABF16" w14:textId="77777777">
        <w:trPr>
          <w:trHeight w:val="4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8046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D9F7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 in a honeycomb</w:t>
            </w:r>
          </w:p>
        </w:tc>
      </w:tr>
      <w:tr w:rsidR="002F1E5A" w14:paraId="02EFEE40" w14:textId="77777777">
        <w:trPr>
          <w:trHeight w:val="42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6743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Technological documentation (number, name)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5EFC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041-Honey in a honeycomb </w:t>
            </w:r>
          </w:p>
        </w:tc>
      </w:tr>
      <w:tr w:rsidR="002F1E5A" w14:paraId="0B5E8B3F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B4BD" w14:textId="77777777" w:rsidR="002F1E5A" w:rsidRDefault="002F1E5A">
            <w:pPr>
              <w:jc w:val="both"/>
              <w:rPr>
                <w:b/>
                <w:sz w:val="24"/>
                <w:szCs w:val="24"/>
              </w:rPr>
            </w:pPr>
          </w:p>
          <w:p w14:paraId="428985F0" w14:textId="77777777" w:rsidR="002F1E5A" w:rsidRDefault="002F1E5A">
            <w:pPr>
              <w:jc w:val="both"/>
              <w:rPr>
                <w:b/>
                <w:sz w:val="24"/>
                <w:szCs w:val="24"/>
              </w:rPr>
            </w:pPr>
          </w:p>
          <w:p w14:paraId="30E41969" w14:textId="77777777" w:rsidR="002F1E5A" w:rsidRDefault="002F1E5A">
            <w:pPr>
              <w:jc w:val="both"/>
              <w:rPr>
                <w:b/>
                <w:sz w:val="24"/>
                <w:szCs w:val="24"/>
              </w:rPr>
            </w:pPr>
          </w:p>
          <w:p w14:paraId="39AFA717" w14:textId="77777777" w:rsidR="002F1E5A" w:rsidRDefault="002F1E5A">
            <w:pPr>
              <w:jc w:val="both"/>
              <w:rPr>
                <w:b/>
                <w:sz w:val="24"/>
                <w:szCs w:val="24"/>
              </w:rPr>
            </w:pPr>
          </w:p>
          <w:p w14:paraId="22A9DDF2" w14:textId="77777777" w:rsidR="002F1E5A" w:rsidRDefault="002F1E5A">
            <w:pPr>
              <w:jc w:val="both"/>
              <w:rPr>
                <w:b/>
                <w:sz w:val="24"/>
                <w:szCs w:val="24"/>
              </w:rPr>
            </w:pPr>
          </w:p>
          <w:p w14:paraId="69B4566B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description and legal requirements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27FA" w14:textId="77777777" w:rsidR="002F1E5A" w:rsidRDefault="00233593">
            <w:pPr>
              <w:tabs>
                <w:tab w:val="left" w:pos="251"/>
                <w:tab w:val="left" w:pos="393"/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Honey in a honeycomb. </w:t>
            </w:r>
          </w:p>
        </w:tc>
      </w:tr>
      <w:tr w:rsidR="002F1E5A" w14:paraId="65EDD81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B92B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D3" w14:textId="23CC63CD" w:rsidR="002F1E5A" w:rsidRDefault="00163C56">
            <w:pPr>
              <w:tabs>
                <w:tab w:val="left" w:pos="251"/>
                <w:tab w:val="left" w:pos="393"/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Confidential</w:t>
            </w:r>
          </w:p>
        </w:tc>
      </w:tr>
      <w:tr w:rsidR="002F1E5A" w14:paraId="782F8C06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F6B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901" w14:textId="77777777" w:rsidR="002F1E5A" w:rsidRDefault="00233593">
            <w:pPr>
              <w:tabs>
                <w:tab w:val="left" w:pos="251"/>
                <w:tab w:val="left" w:pos="393"/>
                <w:tab w:val="left" w:pos="601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Bulgaria, EU</w:t>
            </w:r>
          </w:p>
        </w:tc>
      </w:tr>
      <w:tr w:rsidR="002F1E5A" w14:paraId="2DE4913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B904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Company registration number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B96" w14:textId="77777777" w:rsidR="002F1E5A" w:rsidRDefault="00233593">
            <w:pPr>
              <w:tabs>
                <w:tab w:val="left" w:pos="251"/>
                <w:tab w:val="left" w:pos="393"/>
                <w:tab w:val="left" w:pos="6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BG1615027EO</w:t>
            </w:r>
          </w:p>
        </w:tc>
      </w:tr>
      <w:tr w:rsidR="002F1E5A" w14:paraId="64BDE52A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1F3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Shelf life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E5FD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</w:tr>
      <w:tr w:rsidR="002F1E5A" w14:paraId="4157D92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5652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Storage conditions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E5D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Dry and dark places at temperature up to 25°C and up to 80% humidity</w:t>
            </w:r>
          </w:p>
        </w:tc>
      </w:tr>
      <w:tr w:rsidR="002F1E5A" w14:paraId="001FCEDF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62B2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Ingredients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E36" w14:textId="77777777" w:rsidR="002F1E5A" w:rsidRDefault="002335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Polyfloral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bee honey, propolis</w:t>
            </w:r>
          </w:p>
        </w:tc>
      </w:tr>
      <w:tr w:rsidR="002F1E5A" w14:paraId="384E837B" w14:textId="77777777">
        <w:trPr>
          <w:trHeight w:val="1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126" w14:textId="77777777" w:rsidR="002F1E5A" w:rsidRDefault="002F1E5A">
            <w:pPr>
              <w:jc w:val="center"/>
              <w:rPr>
                <w:b/>
                <w:sz w:val="24"/>
                <w:szCs w:val="24"/>
              </w:rPr>
            </w:pPr>
          </w:p>
          <w:p w14:paraId="1B48FB3B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1ED" w14:textId="77777777" w:rsidR="002F1E5A" w:rsidRDefault="00233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mass consumption. Children up to 1 year of age are at risk because of the allergic reactions that sometimes occur. It is not recommended to give honey to infants and children under 1 year because their digestive system is underdeveloped and can cause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otulism. Honey is contraindicated in people who are allergic to it, as well as in patients with diabetes mellitus on insulin treatment.</w:t>
            </w:r>
          </w:p>
        </w:tc>
      </w:tr>
      <w:tr w:rsidR="002F1E5A" w14:paraId="4B8CD967" w14:textId="77777777">
        <w:trPr>
          <w:trHeight w:val="1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C1E" w14:textId="77777777" w:rsidR="002F1E5A" w:rsidRDefault="0023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GTIN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6ADA" w14:textId="77777777" w:rsidR="002F1E5A" w:rsidRDefault="002F1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D24B3" w14:textId="77777777" w:rsidR="002F1E5A" w:rsidRDefault="002F1E5A">
      <w:pPr>
        <w:spacing w:line="252" w:lineRule="auto"/>
        <w:jc w:val="both"/>
        <w:rPr>
          <w:b/>
          <w:sz w:val="48"/>
          <w:szCs w:val="48"/>
        </w:rPr>
      </w:pPr>
    </w:p>
    <w:tbl>
      <w:tblPr>
        <w:tblStyle w:val="a0"/>
        <w:tblW w:w="90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6047"/>
      </w:tblGrid>
      <w:tr w:rsidR="002F1E5A" w14:paraId="6D637D78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DBFD" w14:textId="77777777" w:rsidR="002F1E5A" w:rsidRDefault="002335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Physico</w:t>
            </w:r>
            <w:proofErr w:type="spellEnd"/>
            <w:r>
              <w:rPr>
                <w:b/>
                <w:sz w:val="24"/>
                <w:szCs w:val="24"/>
              </w:rPr>
              <w:t>-chemical indicators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794" w14:textId="77777777" w:rsidR="002F1E5A" w:rsidRDefault="0023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</w:t>
            </w:r>
          </w:p>
        </w:tc>
      </w:tr>
      <w:tr w:rsidR="002F1E5A" w14:paraId="42A4DDE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433B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F1CC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20 %</w:t>
            </w:r>
          </w:p>
        </w:tc>
      </w:tr>
      <w:tr w:rsidR="002F1E5A" w14:paraId="738FD725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A2A3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Reducing sugars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1823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less than 65-68 %</w:t>
            </w:r>
          </w:p>
        </w:tc>
      </w:tr>
      <w:tr w:rsidR="002F1E5A" w14:paraId="107A1A0E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9DF3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Total glucose and fructose 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8B2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45-60%</w:t>
            </w:r>
          </w:p>
        </w:tc>
      </w:tr>
      <w:tr w:rsidR="002F1E5A" w14:paraId="718D3E2E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5710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Sucrose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B2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5%</w:t>
            </w:r>
          </w:p>
        </w:tc>
      </w:tr>
      <w:tr w:rsidR="002F1E5A" w14:paraId="2FD7F698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66B7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Insoluble substances in water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C00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0.1%</w:t>
            </w:r>
          </w:p>
        </w:tc>
      </w:tr>
      <w:tr w:rsidR="002F1E5A" w14:paraId="4B5BFC3F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0B6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Hydroxymethylfurfural</w:t>
            </w:r>
            <w:proofErr w:type="spellEnd"/>
            <w:r>
              <w:rPr>
                <w:sz w:val="24"/>
                <w:szCs w:val="24"/>
              </w:rPr>
              <w:t xml:space="preserve"> / HMF / in mg 1000 g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F147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40mg</w:t>
            </w:r>
          </w:p>
        </w:tc>
      </w:tr>
      <w:tr w:rsidR="002F1E5A" w14:paraId="1991D9D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35B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for glucose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1510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</w:tr>
      <w:tr w:rsidR="002F1E5A" w14:paraId="1F0D946A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A41D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Availability of veterinary medicinal products (VMP)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6F2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allowed</w:t>
            </w:r>
          </w:p>
        </w:tc>
      </w:tr>
      <w:tr w:rsidR="002F1E5A" w14:paraId="3BFC5A8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975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Indications of fermentation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B21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allowed</w:t>
            </w:r>
          </w:p>
        </w:tc>
      </w:tr>
      <w:tr w:rsidR="002F1E5A" w14:paraId="5C077EF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AC1A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impurities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5D9" w14:textId="77777777" w:rsidR="002F1E5A" w:rsidRDefault="00233593">
            <w:pPr>
              <w:tabs>
                <w:tab w:val="left" w:pos="696"/>
                <w:tab w:val="center" w:pos="1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allowed</w:t>
            </w:r>
          </w:p>
        </w:tc>
      </w:tr>
      <w:tr w:rsidR="002F1E5A" w14:paraId="2D24B35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50C7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sweeteners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89E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allowed</w:t>
            </w:r>
          </w:p>
        </w:tc>
      </w:tr>
      <w:tr w:rsidR="002F1E5A" w14:paraId="0251122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D64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4AA5F827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Pesticides</w:t>
            </w:r>
          </w:p>
          <w:p w14:paraId="5C2DCFB3" w14:textId="77777777" w:rsidR="002F1E5A" w:rsidRDefault="002F1E5A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F691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 Regulation (EC) No 396/2005 on maximum residue levels of pesticides in or on food and feed of plant and animal origin</w:t>
            </w:r>
          </w:p>
        </w:tc>
      </w:tr>
      <w:tr w:rsidR="002F1E5A" w14:paraId="7912E679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8D0C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36FCF861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Antibiotics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4C0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 Regulation (EC) No 470/2009 laying down residue limits of pharmacologically active sub</w:t>
            </w:r>
            <w:r>
              <w:rPr>
                <w:sz w:val="24"/>
                <w:szCs w:val="24"/>
              </w:rPr>
              <w:t>stances in food of animal origin</w:t>
            </w:r>
          </w:p>
        </w:tc>
      </w:tr>
      <w:tr w:rsidR="002F1E5A" w14:paraId="1A2701F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B028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 substances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E6A4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0,5 - 1 %</w:t>
            </w:r>
          </w:p>
        </w:tc>
      </w:tr>
      <w:tr w:rsidR="002F1E5A" w14:paraId="14D8CF29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1E4A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4BD0EF5F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Presence of heavy metals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FE55" w14:textId="77777777" w:rsidR="002F1E5A" w:rsidRDefault="0023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 Regulation 1881/2006 for establishing maximum levels of certain contaminants in food.</w:t>
            </w:r>
          </w:p>
        </w:tc>
      </w:tr>
      <w:tr w:rsidR="002F1E5A" w14:paraId="618C967E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7EC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323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</w:tc>
      </w:tr>
      <w:tr w:rsidR="002F1E5A" w14:paraId="2E423A42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320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D48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C1CD6B" w14:textId="77777777" w:rsidR="002F1E5A" w:rsidRDefault="002F1E5A">
      <w:pPr>
        <w:spacing w:line="252" w:lineRule="auto"/>
        <w:jc w:val="both"/>
        <w:rPr>
          <w:b/>
          <w:sz w:val="24"/>
          <w:szCs w:val="24"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2F1E5A" w14:paraId="2CB1238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5ABC" w14:textId="77777777" w:rsidR="002F1E5A" w:rsidRDefault="002F1E5A">
            <w:pPr>
              <w:jc w:val="center"/>
              <w:rPr>
                <w:b/>
                <w:sz w:val="24"/>
                <w:szCs w:val="24"/>
              </w:rPr>
            </w:pPr>
          </w:p>
          <w:p w14:paraId="428FC878" w14:textId="77777777" w:rsidR="002F1E5A" w:rsidRDefault="0023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Allergens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8C32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product does not contain allergens. Labelling complies with Regulation 1169/2011 on the provision of food information to consumers</w:t>
            </w:r>
          </w:p>
        </w:tc>
      </w:tr>
    </w:tbl>
    <w:p w14:paraId="22AC787D" w14:textId="77777777" w:rsidR="002F1E5A" w:rsidRDefault="002F1E5A">
      <w:pPr>
        <w:spacing w:line="252" w:lineRule="auto"/>
        <w:jc w:val="both"/>
        <w:rPr>
          <w:b/>
          <w:sz w:val="24"/>
          <w:szCs w:val="24"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2F1E5A" w14:paraId="4F53155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1EB6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Microbiological indicators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B03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Values</w:t>
            </w:r>
          </w:p>
        </w:tc>
      </w:tr>
      <w:tr w:rsidR="002F1E5A" w14:paraId="5B8D256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684" w14:textId="77777777" w:rsidR="002F1E5A" w:rsidRDefault="00233593">
            <w:pPr>
              <w:tabs>
                <w:tab w:val="right" w:pos="2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coli and coliforms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A5E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established</w:t>
            </w:r>
          </w:p>
        </w:tc>
      </w:tr>
      <w:tr w:rsidR="002F1E5A" w14:paraId="4D2614E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D588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Pathogenic staphylococci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9893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established</w:t>
            </w:r>
          </w:p>
        </w:tc>
      </w:tr>
      <w:tr w:rsidR="002F1E5A" w14:paraId="1273FE0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78B2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Salmonella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6E6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established</w:t>
            </w:r>
          </w:p>
        </w:tc>
      </w:tr>
      <w:tr w:rsidR="002F1E5A" w14:paraId="4B9056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0EB" w14:textId="77777777" w:rsidR="002F1E5A" w:rsidRDefault="002335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Moulds</w:t>
            </w:r>
            <w:proofErr w:type="spellEnd"/>
            <w:r>
              <w:rPr>
                <w:sz w:val="24"/>
                <w:szCs w:val="24"/>
              </w:rPr>
              <w:t xml:space="preserve"> and yeasts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B2D4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established</w:t>
            </w:r>
          </w:p>
        </w:tc>
      </w:tr>
    </w:tbl>
    <w:p w14:paraId="7B4D33F3" w14:textId="77777777" w:rsidR="002F1E5A" w:rsidRDefault="002F1E5A">
      <w:pPr>
        <w:spacing w:line="252" w:lineRule="auto"/>
        <w:jc w:val="both"/>
        <w:rPr>
          <w:b/>
          <w:sz w:val="24"/>
          <w:szCs w:val="24"/>
        </w:rPr>
      </w:pPr>
    </w:p>
    <w:tbl>
      <w:tblPr>
        <w:tblStyle w:val="a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2F1E5A" w14:paraId="186A34C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424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Nutritional value, per 100 g product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474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</w:t>
            </w:r>
          </w:p>
        </w:tc>
      </w:tr>
      <w:tr w:rsidR="002F1E5A" w14:paraId="616829E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0CD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value: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81A3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 kJ / 382 kcal</w:t>
            </w:r>
          </w:p>
        </w:tc>
      </w:tr>
      <w:tr w:rsidR="002F1E5A" w14:paraId="12354A8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4AB" w14:textId="77777777" w:rsidR="002F1E5A" w:rsidRDefault="00233593">
            <w:pPr>
              <w:tabs>
                <w:tab w:val="left" w:pos="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Fats</w:t>
            </w:r>
            <w:r>
              <w:rPr>
                <w:sz w:val="24"/>
                <w:szCs w:val="24"/>
              </w:rPr>
              <w:tab/>
            </w:r>
          </w:p>
          <w:p w14:paraId="791D7556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saturated fatty acids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4FC3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 g</w:t>
            </w:r>
          </w:p>
          <w:p w14:paraId="6A9FDEDA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 g</w:t>
            </w:r>
          </w:p>
        </w:tc>
      </w:tr>
      <w:tr w:rsidR="002F1E5A" w14:paraId="15132D0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13A0" w14:textId="77777777" w:rsidR="002F1E5A" w:rsidRDefault="00233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Carbohydrates</w:t>
            </w:r>
          </w:p>
          <w:p w14:paraId="1695B606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of which sugars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FF1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g</w:t>
            </w:r>
          </w:p>
          <w:p w14:paraId="7F8E6705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g</w:t>
            </w:r>
          </w:p>
        </w:tc>
      </w:tr>
      <w:tr w:rsidR="002F1E5A" w14:paraId="1FE143F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CD26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EF96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 g</w:t>
            </w:r>
          </w:p>
        </w:tc>
      </w:tr>
      <w:tr w:rsidR="002F1E5A" w14:paraId="2F3C15B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C827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1D9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 g</w:t>
            </w:r>
          </w:p>
        </w:tc>
      </w:tr>
      <w:tr w:rsidR="002F1E5A" w14:paraId="130DA0F6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FD0D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Organoleptic characteristics</w:t>
            </w:r>
          </w:p>
        </w:tc>
      </w:tr>
      <w:tr w:rsidR="002F1E5A" w14:paraId="46001FA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AA8D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B01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 sealed in wax combs</w:t>
            </w:r>
          </w:p>
        </w:tc>
      </w:tr>
      <w:tr w:rsidR="002F1E5A" w14:paraId="083458D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1ECA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Taste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C0C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Pleasant, sweetish, characteristic of honey</w:t>
            </w:r>
          </w:p>
        </w:tc>
      </w:tr>
      <w:tr w:rsidR="002F1E5A" w14:paraId="23B0D54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05D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Aroma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9995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Pleasant, sweetish, characteristic of honey</w:t>
            </w:r>
          </w:p>
        </w:tc>
      </w:tr>
      <w:tr w:rsidR="002F1E5A" w14:paraId="18173BE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636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Texture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A6EA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Viscous mass, sticky, chewy</w:t>
            </w:r>
          </w:p>
        </w:tc>
      </w:tr>
      <w:tr w:rsidR="002F1E5A" w14:paraId="011EB82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8933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9C5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 yellow to dark yellow, with a brownish tinge.</w:t>
            </w:r>
          </w:p>
        </w:tc>
      </w:tr>
    </w:tbl>
    <w:p w14:paraId="128B84FD" w14:textId="77777777" w:rsidR="002F1E5A" w:rsidRDefault="002F1E5A">
      <w:pPr>
        <w:spacing w:line="252" w:lineRule="auto"/>
        <w:jc w:val="both"/>
        <w:rPr>
          <w:b/>
          <w:sz w:val="24"/>
          <w:szCs w:val="24"/>
        </w:rPr>
      </w:pPr>
    </w:p>
    <w:tbl>
      <w:tblPr>
        <w:tblStyle w:val="a4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2F1E5A" w14:paraId="331EBC3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911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Packaging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B746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</w:tr>
      <w:tr w:rsidR="002F1E5A" w14:paraId="27A2B5E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8D3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18BEC541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69A1FB45" w14:textId="77777777" w:rsidR="002F1E5A" w:rsidRDefault="002F1E5A">
            <w:pPr>
              <w:rPr>
                <w:sz w:val="24"/>
                <w:szCs w:val="24"/>
              </w:rPr>
            </w:pPr>
          </w:p>
          <w:p w14:paraId="063169CD" w14:textId="77777777" w:rsidR="002F1E5A" w:rsidRDefault="002F1E5A">
            <w:pPr>
              <w:jc w:val="center"/>
              <w:rPr>
                <w:sz w:val="24"/>
                <w:szCs w:val="24"/>
              </w:rPr>
            </w:pPr>
          </w:p>
          <w:p w14:paraId="30B487E2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packaging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B9A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finished product is packed in plastic boxes with tightly closing lids and a capacity of 0.250 kg, according to Ordinance No 2 of 23 January 2008 on plastic materials and articles intended to come into contact with food. Ann. No. 13 of 8 February 2008,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amended. SG 86 of 3 October 2008, amend. SG 62 of 10 August 2010, amend. SG 44 of 10 June 2011, amend. SG 2 of 6 January 2012, suppl. SG No. 25 of 27 March 2012, amend. and suppl. SG 72 of 16 August 2013.</w:t>
            </w:r>
          </w:p>
        </w:tc>
      </w:tr>
      <w:tr w:rsidR="002F1E5A" w14:paraId="0ECCFA4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FD0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packaging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E70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Boxes made of corrugated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rdboard approved by the Ministry of Health.</w:t>
            </w:r>
          </w:p>
        </w:tc>
      </w:tr>
      <w:tr w:rsidR="002F1E5A" w14:paraId="377957B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CD49" w14:textId="77777777" w:rsidR="002F1E5A" w:rsidRDefault="0023359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EAN – codes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2A4" w14:textId="77777777" w:rsidR="002F1E5A" w:rsidRDefault="002F1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5A" w14:paraId="3A0FC3D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BDF4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Expedition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1580" w14:textId="77777777" w:rsidR="002F1E5A" w:rsidRDefault="002335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on euro pallets, foiled with stretch foil</w:t>
            </w:r>
          </w:p>
        </w:tc>
      </w:tr>
    </w:tbl>
    <w:p w14:paraId="09D9D293" w14:textId="77777777" w:rsidR="002F1E5A" w:rsidRDefault="002F1E5A">
      <w:pPr>
        <w:tabs>
          <w:tab w:val="left" w:pos="2292"/>
        </w:tabs>
        <w:spacing w:line="252" w:lineRule="auto"/>
        <w:jc w:val="both"/>
        <w:rPr>
          <w:b/>
          <w:sz w:val="24"/>
          <w:szCs w:val="24"/>
        </w:rPr>
      </w:pPr>
    </w:p>
    <w:p w14:paraId="04700A5A" w14:textId="260CA6A4" w:rsidR="002F1E5A" w:rsidRDefault="002F1E5A"/>
    <w:p w14:paraId="4E61A41D" w14:textId="12E1D1C4" w:rsidR="00163C56" w:rsidRDefault="00163C56"/>
    <w:p w14:paraId="7C390EE3" w14:textId="33FD0DA1" w:rsidR="00163C56" w:rsidRDefault="00163C56"/>
    <w:p w14:paraId="0E00BA60" w14:textId="4CFAA308" w:rsidR="00163C56" w:rsidRDefault="00163C56"/>
    <w:p w14:paraId="464D3F8D" w14:textId="1C8BCF4E" w:rsidR="00163C56" w:rsidRDefault="00163C56"/>
    <w:p w14:paraId="3A9C96F6" w14:textId="67DB59F7" w:rsidR="00163C56" w:rsidRDefault="00163C56">
      <w:r>
        <w:rPr>
          <w:noProof/>
        </w:rPr>
        <w:lastRenderedPageBreak/>
        <w:drawing>
          <wp:inline distT="0" distB="0" distL="0" distR="0" wp14:anchorId="65174E11" wp14:editId="521FC23E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C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9429" w14:textId="77777777" w:rsidR="00233593" w:rsidRDefault="00233593">
      <w:pPr>
        <w:spacing w:after="0" w:line="240" w:lineRule="auto"/>
      </w:pPr>
      <w:r>
        <w:separator/>
      </w:r>
    </w:p>
  </w:endnote>
  <w:endnote w:type="continuationSeparator" w:id="0">
    <w:p w14:paraId="2209FECF" w14:textId="77777777" w:rsidR="00233593" w:rsidRDefault="0023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088F" w14:textId="77777777" w:rsidR="002F1E5A" w:rsidRDefault="002335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63C5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63C5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1BA140E0" w14:textId="77777777" w:rsidR="002F1E5A" w:rsidRDefault="002F1E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3184" w14:textId="77777777" w:rsidR="00233593" w:rsidRDefault="00233593">
      <w:pPr>
        <w:spacing w:after="0" w:line="240" w:lineRule="auto"/>
      </w:pPr>
      <w:r>
        <w:separator/>
      </w:r>
    </w:p>
  </w:footnote>
  <w:footnote w:type="continuationSeparator" w:id="0">
    <w:p w14:paraId="1731A23D" w14:textId="77777777" w:rsidR="00233593" w:rsidRDefault="0023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6D9B" w14:textId="60579CE0" w:rsidR="002F1E5A" w:rsidRDefault="00163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C2A27ED" wp14:editId="3AA08600">
          <wp:extent cx="5553075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3090" cy="152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5A"/>
    <w:rsid w:val="00163C56"/>
    <w:rsid w:val="00233593"/>
    <w:rsid w:val="002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83919"/>
  <w15:docId w15:val="{6B1B5118-0BD5-4DEA-9B6E-3C95926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7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1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214178"/>
    <w:rPr>
      <w:b/>
      <w:bCs/>
    </w:rPr>
  </w:style>
  <w:style w:type="paragraph" w:styleId="ListParagraph">
    <w:name w:val="List Paragraph"/>
    <w:basedOn w:val="Normal"/>
    <w:uiPriority w:val="34"/>
    <w:qFormat/>
    <w:rsid w:val="00214178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7E0019"/>
    <w:rPr>
      <w:color w:val="0000FF"/>
      <w:u w:val="single"/>
    </w:rPr>
  </w:style>
  <w:style w:type="table" w:styleId="TableGrid">
    <w:name w:val="Table Grid"/>
    <w:basedOn w:val="TableNormal"/>
    <w:uiPriority w:val="39"/>
    <w:rsid w:val="00C91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91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649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C91649"/>
  </w:style>
  <w:style w:type="paragraph" w:styleId="Footer">
    <w:name w:val="footer"/>
    <w:basedOn w:val="Normal"/>
    <w:link w:val="FooterChar"/>
    <w:uiPriority w:val="99"/>
    <w:unhideWhenUsed/>
    <w:rsid w:val="00C9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49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VPrKdlM8WgzDysjditWSa9ZDg==">CgMxLjA4AHIhMXdRYW5abmdvWkUwMktlYjFFZkdvNGVlQVNjMUR6QXpf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food safety quality</cp:lastModifiedBy>
  <cp:revision>2</cp:revision>
  <dcterms:created xsi:type="dcterms:W3CDTF">2022-05-09T08:46:00Z</dcterms:created>
  <dcterms:modified xsi:type="dcterms:W3CDTF">2025-02-25T11:26:00Z</dcterms:modified>
</cp:coreProperties>
</file>